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50" w:rsidRDefault="00701250" w:rsidP="00EF0A65">
      <w:pPr>
        <w:contextualSpacing/>
        <w:rPr>
          <w:rFonts w:cs="Arial"/>
        </w:rPr>
      </w:pPr>
    </w:p>
    <w:p w:rsidR="0011720B" w:rsidRPr="00AF5DB2" w:rsidRDefault="000D4D10" w:rsidP="0011720B">
      <w:pPr>
        <w:pStyle w:val="Heading1"/>
        <w:spacing w:before="0" w:after="120"/>
      </w:pPr>
      <w:r>
        <w:t>Core Fundraising Premises</w:t>
      </w:r>
    </w:p>
    <w:p w:rsidR="000D4D10" w:rsidRDefault="000D4D10" w:rsidP="000D4D10">
      <w:bookmarkStart w:id="0" w:name="_Toc344035493"/>
      <w:r>
        <w:t>In addition to the pillars of fundraising success, the following three premises are important to building a strong, donor-centered fundraising operation.</w:t>
      </w:r>
    </w:p>
    <w:p w:rsidR="000D4D10" w:rsidRDefault="000D4D10" w:rsidP="000D4D10"/>
    <w:p w:rsidR="000D4D10" w:rsidRPr="00904DF4" w:rsidRDefault="000D4D10" w:rsidP="000D4D10">
      <w:pPr>
        <w:pStyle w:val="Heading2"/>
      </w:pPr>
      <w:bookmarkStart w:id="1" w:name="_GoBack"/>
      <w:bookmarkEnd w:id="0"/>
      <w:r w:rsidRPr="00904DF4">
        <w:t>The Donor Pyramid</w:t>
      </w:r>
    </w:p>
    <w:bookmarkEnd w:id="1"/>
    <w:p w:rsidR="000D4D10" w:rsidRDefault="00060DA1" w:rsidP="00FC4CCB">
      <w:pPr>
        <w:tabs>
          <w:tab w:val="left" w:pos="3060"/>
        </w:tabs>
        <w:rPr>
          <w:rFonts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828800" distR="1828800" simplePos="0" relativeHeight="251664384" behindDoc="0" locked="0" layoutInCell="1" allowOverlap="1" wp14:anchorId="78A1BE07" wp14:editId="700410F2">
            <wp:simplePos x="0" y="0"/>
            <wp:positionH relativeFrom="column">
              <wp:posOffset>981075</wp:posOffset>
            </wp:positionH>
            <wp:positionV relativeFrom="paragraph">
              <wp:posOffset>1529080</wp:posOffset>
            </wp:positionV>
            <wp:extent cx="4489450" cy="3355340"/>
            <wp:effectExtent l="0" t="0" r="635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335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D10">
        <w:rPr>
          <w:rFonts w:cs="Arial"/>
        </w:rPr>
        <w:t xml:space="preserve">A comprehensive fundraising program uses personalized engagement with donors of all types, </w:t>
      </w:r>
      <w:r w:rsidR="000D4D10" w:rsidRPr="005D60EF">
        <w:rPr>
          <w:rFonts w:cs="Arial"/>
        </w:rPr>
        <w:t xml:space="preserve">with the objective of constantly moving </w:t>
      </w:r>
      <w:r w:rsidR="000D4D10">
        <w:rPr>
          <w:rFonts w:cs="Arial"/>
        </w:rPr>
        <w:t>them</w:t>
      </w:r>
      <w:r w:rsidR="000D4D10" w:rsidRPr="005D60EF">
        <w:rPr>
          <w:rFonts w:cs="Arial"/>
        </w:rPr>
        <w:t xml:space="preserve"> </w:t>
      </w:r>
      <w:r w:rsidR="000D4D10">
        <w:rPr>
          <w:rFonts w:cs="Arial"/>
        </w:rPr>
        <w:t>to more significant philanthropic commitments, as shown in the “donor pyramid” depicted below</w:t>
      </w:r>
      <w:r w:rsidR="000D4D10" w:rsidRPr="005D60EF">
        <w:rPr>
          <w:rFonts w:cs="Arial"/>
        </w:rPr>
        <w:t xml:space="preserve">. </w:t>
      </w:r>
      <w:r w:rsidR="000D4D10">
        <w:rPr>
          <w:rFonts w:cs="Arial"/>
        </w:rPr>
        <w:t xml:space="preserve"> As the narrowing shape of the pyramid suggests, not all supporters have the ability or interest to make larger gifts. However, with sufficient engagement and cultivation, those with more significant </w:t>
      </w:r>
      <w:r w:rsidR="000D4D10" w:rsidRPr="005D60EF">
        <w:rPr>
          <w:rFonts w:cs="Arial"/>
        </w:rPr>
        <w:t>philanthropic capacity and propensity</w:t>
      </w:r>
      <w:r w:rsidR="000D4D10">
        <w:rPr>
          <w:rFonts w:cs="Arial"/>
        </w:rPr>
        <w:t xml:space="preserve"> will </w:t>
      </w:r>
      <w:r w:rsidR="000D4D10" w:rsidRPr="005D60EF">
        <w:rPr>
          <w:rFonts w:cs="Arial"/>
        </w:rPr>
        <w:t xml:space="preserve">work their way up the donor pyramid </w:t>
      </w:r>
      <w:r w:rsidR="000D4D10">
        <w:rPr>
          <w:rFonts w:cs="Arial"/>
        </w:rPr>
        <w:t xml:space="preserve">over time, and, as more fully discussed below, the return on investment at each higher level of the pyramid will grow stronger.  </w:t>
      </w:r>
    </w:p>
    <w:p w:rsidR="000D4D10" w:rsidRDefault="000D4D10" w:rsidP="000D4D10">
      <w:pPr>
        <w:rPr>
          <w:b/>
        </w:rPr>
      </w:pPr>
    </w:p>
    <w:p w:rsidR="000D4D10" w:rsidRPr="00904DF4" w:rsidRDefault="000D4D10" w:rsidP="000D4D10">
      <w:pPr>
        <w:pStyle w:val="Heading2"/>
      </w:pPr>
      <w:r w:rsidRPr="00904DF4">
        <w:lastRenderedPageBreak/>
        <w:t>Relationship Management</w:t>
      </w:r>
    </w:p>
    <w:p w:rsidR="000D4D10" w:rsidRDefault="000D4D10" w:rsidP="000D4D10">
      <w:r>
        <w:t>The donor evolution described above is best achieved through relationship</w:t>
      </w:r>
      <w:r>
        <w:noBreakHyphen/>
        <w:t>based fundraising that seeks to engage donors and potential donors in increasingly personal and meaningful ways.  This donor-centered fundraising emphasizes relationships rooted in a donor’s philanthropic interests and goals rather than the needs or priorities of the Action Coalition.</w:t>
      </w:r>
    </w:p>
    <w:p w:rsidR="000D4D10" w:rsidRDefault="000D4D10" w:rsidP="000D4D10">
      <w:r>
        <w:t xml:space="preserve">Prospects and donors typically move through the relationship management </w:t>
      </w:r>
      <w:r w:rsidRPr="003F4BF2">
        <w:t>cycle</w:t>
      </w:r>
      <w:r>
        <w:t xml:space="preserve"> illustrated and described below.</w:t>
      </w:r>
    </w:p>
    <w:p w:rsidR="000D4D10" w:rsidRDefault="000D4D10" w:rsidP="000D4D10">
      <w:r w:rsidRPr="00122237">
        <w:rPr>
          <w:noProof/>
        </w:rPr>
        <w:drawing>
          <wp:anchor distT="0" distB="0" distL="114300" distR="114300" simplePos="0" relativeHeight="251660288" behindDoc="1" locked="0" layoutInCell="1" allowOverlap="1" wp14:anchorId="3E5DE9FA" wp14:editId="33E5F43D">
            <wp:simplePos x="0" y="0"/>
            <wp:positionH relativeFrom="column">
              <wp:posOffset>161925</wp:posOffset>
            </wp:positionH>
            <wp:positionV relativeFrom="paragraph">
              <wp:posOffset>22225</wp:posOffset>
            </wp:positionV>
            <wp:extent cx="5924550" cy="2934335"/>
            <wp:effectExtent l="0" t="0" r="0" b="0"/>
            <wp:wrapTight wrapText="bothSides">
              <wp:wrapPolygon edited="0">
                <wp:start x="0" y="0"/>
                <wp:lineTo x="0" y="21455"/>
                <wp:lineTo x="21531" y="21455"/>
                <wp:lineTo x="21531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D10" w:rsidRDefault="000D4D10" w:rsidP="000D4D10">
      <w:pPr>
        <w:pStyle w:val="Bullet1"/>
        <w:rPr>
          <w:u w:val="single"/>
        </w:rPr>
      </w:pPr>
      <w:r w:rsidRPr="00004AD0">
        <w:rPr>
          <w:b/>
        </w:rPr>
        <w:t>Identifying</w:t>
      </w:r>
      <w:r>
        <w:t xml:space="preserve"> potential donors who may have the </w:t>
      </w:r>
      <w:r w:rsidRPr="00344973">
        <w:rPr>
          <w:i/>
        </w:rPr>
        <w:t>capacity</w:t>
      </w:r>
      <w:r>
        <w:t xml:space="preserve"> to make major gifts  </w:t>
      </w:r>
    </w:p>
    <w:p w:rsidR="000D4D10" w:rsidRDefault="000D4D10" w:rsidP="000D4D10">
      <w:pPr>
        <w:pStyle w:val="Bullet1"/>
        <w:rPr>
          <w:u w:val="single"/>
        </w:rPr>
      </w:pPr>
      <w:r w:rsidRPr="00004AD0">
        <w:rPr>
          <w:b/>
        </w:rPr>
        <w:t>Qualifying</w:t>
      </w:r>
      <w:r>
        <w:t xml:space="preserve"> these prospects to determine whether they have the </w:t>
      </w:r>
      <w:r w:rsidRPr="00344973">
        <w:rPr>
          <w:i/>
        </w:rPr>
        <w:t>propensity</w:t>
      </w:r>
      <w:r>
        <w:t xml:space="preserve"> to support the Action Coalition at a major gift level</w:t>
      </w:r>
    </w:p>
    <w:p w:rsidR="000D4D10" w:rsidRDefault="000D4D10" w:rsidP="000D4D10">
      <w:pPr>
        <w:pStyle w:val="Bullet1"/>
        <w:rPr>
          <w:u w:val="single"/>
        </w:rPr>
      </w:pPr>
      <w:r w:rsidRPr="00004AD0">
        <w:rPr>
          <w:b/>
        </w:rPr>
        <w:t>Cultivating</w:t>
      </w:r>
      <w:r>
        <w:t xml:space="preserve"> prospects through personal outreach and donor-centered strategies that incorporate what the Action Coalition has learned about a prospect </w:t>
      </w:r>
    </w:p>
    <w:p w:rsidR="000D4D10" w:rsidRDefault="000D4D10" w:rsidP="000D4D10">
      <w:pPr>
        <w:pStyle w:val="Bullet1"/>
        <w:rPr>
          <w:u w:val="single"/>
        </w:rPr>
      </w:pPr>
      <w:r w:rsidRPr="00004AD0">
        <w:rPr>
          <w:b/>
        </w:rPr>
        <w:t>Soliciting</w:t>
      </w:r>
      <w:r>
        <w:t xml:space="preserve"> gifts for specific amounts and specific purposes that reflect the cultivation strategy and represent personally significant or stretch commitments</w:t>
      </w:r>
    </w:p>
    <w:p w:rsidR="000D4D10" w:rsidRPr="00497C0B" w:rsidRDefault="000D4D10" w:rsidP="000D4D10">
      <w:pPr>
        <w:pStyle w:val="Bullet1"/>
        <w:rPr>
          <w:u w:val="single"/>
        </w:rPr>
      </w:pPr>
      <w:r w:rsidRPr="00004AD0">
        <w:rPr>
          <w:b/>
        </w:rPr>
        <w:t>Stewarding</w:t>
      </w:r>
      <w:r>
        <w:t xml:space="preserve"> donors through continued personal interaction that demonstrates the impact of their gifts on </w:t>
      </w:r>
      <w:r w:rsidR="00060DA1">
        <w:t xml:space="preserve">the Action Coalition </w:t>
      </w:r>
      <w:r>
        <w:t>and ultimately prepares them to make subsequent gifts</w:t>
      </w:r>
    </w:p>
    <w:p w:rsidR="000D4D10" w:rsidRDefault="000D4D10" w:rsidP="000D4D10">
      <w:pPr>
        <w:rPr>
          <w:b/>
        </w:rPr>
      </w:pPr>
    </w:p>
    <w:p w:rsidR="00060DA1" w:rsidRDefault="00060DA1">
      <w:pPr>
        <w:spacing w:after="200"/>
        <w:rPr>
          <w:rFonts w:cs="Arial"/>
          <w:b/>
          <w:color w:val="0064A4"/>
          <w:sz w:val="24"/>
          <w:szCs w:val="24"/>
        </w:rPr>
      </w:pPr>
      <w:r>
        <w:br w:type="page"/>
      </w:r>
    </w:p>
    <w:p w:rsidR="000D4D10" w:rsidRPr="00904DF4" w:rsidRDefault="000D4D10" w:rsidP="00060DA1">
      <w:pPr>
        <w:pStyle w:val="Heading2"/>
      </w:pPr>
      <w:r w:rsidRPr="00904DF4">
        <w:lastRenderedPageBreak/>
        <w:t>Return on Investment</w:t>
      </w:r>
    </w:p>
    <w:p w:rsidR="000D4D10" w:rsidRDefault="000D4D10" w:rsidP="000D4D10">
      <w:pPr>
        <w:rPr>
          <w:rFonts w:cs="Arial"/>
        </w:rPr>
      </w:pPr>
      <w:r>
        <w:t>In addition to resulting in larger commitments, graduating supporters to higher levels of giving also tends to offer a</w:t>
      </w:r>
      <w:r w:rsidR="00060DA1">
        <w:t xml:space="preserve"> greater return on investment. </w:t>
      </w:r>
      <w:r w:rsidRPr="00106F83">
        <w:rPr>
          <w:rFonts w:cs="Arial"/>
        </w:rPr>
        <w:t>The chart below illustrates this point, providing best practice ranges (shaded red and green) for the cost to raise a dollar across various fundraising programs</w:t>
      </w:r>
      <w:r>
        <w:rPr>
          <w:rFonts w:cs="Arial"/>
        </w:rPr>
        <w:t xml:space="preserve"> that roughly correspond with the levels in the donor pyramid</w:t>
      </w:r>
      <w:r w:rsidRPr="00106F83">
        <w:rPr>
          <w:rFonts w:cs="Arial"/>
        </w:rPr>
        <w:t xml:space="preserve">.  </w:t>
      </w:r>
    </w:p>
    <w:p w:rsidR="000D4D10" w:rsidRPr="00D76627" w:rsidRDefault="00060DA1" w:rsidP="000D4D10">
      <w:r>
        <w:rPr>
          <w:noProof/>
        </w:rPr>
        <w:drawing>
          <wp:anchor distT="0" distB="0" distL="1828800" distR="1828800" simplePos="0" relativeHeight="251661312" behindDoc="0" locked="0" layoutInCell="1" allowOverlap="1" wp14:anchorId="4007D9C7" wp14:editId="083A6EB4">
            <wp:simplePos x="0" y="0"/>
            <wp:positionH relativeFrom="column">
              <wp:posOffset>1104265</wp:posOffset>
            </wp:positionH>
            <wp:positionV relativeFrom="paragraph">
              <wp:posOffset>69850</wp:posOffset>
            </wp:positionV>
            <wp:extent cx="4123690" cy="4379595"/>
            <wp:effectExtent l="0" t="0" r="0" b="1905"/>
            <wp:wrapSquare wrapText="bothSides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D10">
        <w:rPr>
          <w:rFonts w:cs="Arial"/>
        </w:rPr>
        <w:t>What this chart makes clear is that h</w:t>
      </w:r>
      <w:r w:rsidR="000D4D10" w:rsidRPr="00106F83">
        <w:rPr>
          <w:rFonts w:cs="Arial"/>
        </w:rPr>
        <w:t xml:space="preserve">eavy investments and lower average commitments in areas such as annual giving </w:t>
      </w:r>
      <w:r>
        <w:rPr>
          <w:rFonts w:cs="Arial"/>
        </w:rPr>
        <w:t xml:space="preserve">and events </w:t>
      </w:r>
      <w:r w:rsidR="000D4D10" w:rsidRPr="00106F83">
        <w:rPr>
          <w:rFonts w:cs="Arial"/>
        </w:rPr>
        <w:t xml:space="preserve">result in higher costs per dollar raised </w:t>
      </w:r>
      <w:r w:rsidR="000D4D10">
        <w:rPr>
          <w:rFonts w:cs="Arial"/>
        </w:rPr>
        <w:t>through</w:t>
      </w:r>
      <w:r w:rsidR="000D4D10" w:rsidRPr="00106F83">
        <w:rPr>
          <w:rFonts w:cs="Arial"/>
        </w:rPr>
        <w:t xml:space="preserve"> these programs, whereas more focused investments and significantly larger gifts make planned and maj</w:t>
      </w:r>
      <w:r>
        <w:rPr>
          <w:rFonts w:cs="Arial"/>
        </w:rPr>
        <w:t xml:space="preserve">or giving much more efficient. </w:t>
      </w:r>
      <w:proofErr w:type="gramStart"/>
      <w:r w:rsidR="000D4D10" w:rsidRPr="00106F83">
        <w:rPr>
          <w:rFonts w:cs="Arial"/>
        </w:rPr>
        <w:t xml:space="preserve">Although annual fundraising </w:t>
      </w:r>
      <w:r>
        <w:rPr>
          <w:rFonts w:cs="Arial"/>
        </w:rPr>
        <w:t xml:space="preserve">and events are </w:t>
      </w:r>
      <w:r w:rsidR="000D4D10" w:rsidRPr="00106F83">
        <w:rPr>
          <w:rFonts w:cs="Arial"/>
        </w:rPr>
        <w:t xml:space="preserve">important because </w:t>
      </w:r>
      <w:r>
        <w:rPr>
          <w:rFonts w:cs="Arial"/>
        </w:rPr>
        <w:t xml:space="preserve">they </w:t>
      </w:r>
      <w:r w:rsidR="000D4D10" w:rsidRPr="00106F83">
        <w:rPr>
          <w:rFonts w:cs="Arial"/>
        </w:rPr>
        <w:t>engage a broad base of supporters</w:t>
      </w:r>
      <w:r w:rsidR="000D4D10">
        <w:rPr>
          <w:rFonts w:cs="Arial"/>
        </w:rPr>
        <w:t xml:space="preserve"> and provide a common “entry point” for the vast majority of eventual major donors</w:t>
      </w:r>
      <w:r w:rsidR="000D4D10" w:rsidRPr="00106F83">
        <w:rPr>
          <w:rFonts w:cs="Arial"/>
        </w:rPr>
        <w:t xml:space="preserve">, </w:t>
      </w:r>
      <w:r>
        <w:rPr>
          <w:rFonts w:cs="Arial"/>
        </w:rPr>
        <w:t xml:space="preserve">focusing on moving donors toward </w:t>
      </w:r>
      <w:r w:rsidR="000D4D10" w:rsidRPr="00106F83">
        <w:rPr>
          <w:rFonts w:cs="Arial"/>
        </w:rPr>
        <w:t>major and planned gifts</w:t>
      </w:r>
      <w:r>
        <w:rPr>
          <w:rFonts w:cs="Arial"/>
        </w:rPr>
        <w:t xml:space="preserve"> will result in the greatest return on investment.</w:t>
      </w:r>
      <w:proofErr w:type="gramEnd"/>
      <w:r w:rsidR="000D4D10">
        <w:rPr>
          <w:rFonts w:cs="Arial"/>
        </w:rPr>
        <w:t xml:space="preserve">    </w:t>
      </w:r>
    </w:p>
    <w:p w:rsidR="00414C0E" w:rsidRPr="000D4D10" w:rsidRDefault="00414C0E" w:rsidP="00060DA1"/>
    <w:sectPr w:rsidR="00414C0E" w:rsidRPr="000D4D10" w:rsidSect="0011720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360" w:right="720" w:bottom="72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EA" w:rsidRDefault="00345FEA" w:rsidP="009B0340">
      <w:r>
        <w:separator/>
      </w:r>
    </w:p>
  </w:endnote>
  <w:endnote w:type="continuationSeparator" w:id="0">
    <w:p w:rsidR="00345FEA" w:rsidRDefault="00345FEA" w:rsidP="009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PremrPro">
    <w:altName w:val="Garamond Premr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HelveticaNeueLT Std Hv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0" w:type="dxa"/>
      <w:tblInd w:w="-432" w:type="dxa"/>
      <w:tblBorders>
        <w:top w:val="single" w:sz="2" w:space="0" w:color="0064A4"/>
        <w:left w:val="single" w:sz="2" w:space="0" w:color="0064A4"/>
        <w:bottom w:val="single" w:sz="2" w:space="0" w:color="0064A4"/>
        <w:right w:val="single" w:sz="2" w:space="0" w:color="0064A4"/>
        <w:insideH w:val="single" w:sz="2" w:space="0" w:color="0064A4"/>
        <w:insideV w:val="single" w:sz="2" w:space="0" w:color="0064A4"/>
      </w:tblBorders>
      <w:tblLook w:val="04A0" w:firstRow="1" w:lastRow="0" w:firstColumn="1" w:lastColumn="0" w:noHBand="0" w:noVBand="1"/>
    </w:tblPr>
    <w:tblGrid>
      <w:gridCol w:w="11160"/>
    </w:tblGrid>
    <w:tr w:rsidR="00345FEA" w:rsidTr="0087666D">
      <w:tc>
        <w:tcPr>
          <w:tcW w:w="11160" w:type="dxa"/>
        </w:tcPr>
        <w:p w:rsidR="00345FEA" w:rsidRPr="009B0340" w:rsidRDefault="00345FEA" w:rsidP="00F62A5F">
          <w:pPr>
            <w:tabs>
              <w:tab w:val="center" w:pos="5564"/>
              <w:tab w:val="right" w:pos="10782"/>
            </w:tabs>
            <w:spacing w:before="120"/>
            <w:ind w:left="432"/>
            <w:rPr>
              <w:sz w:val="20"/>
              <w:szCs w:val="20"/>
            </w:rPr>
          </w:pPr>
          <w:r>
            <w:rPr>
              <w:rFonts w:ascii="HelveticaNeueLT Std Hvy" w:hAnsi="HelveticaNeueLT Std Hvy"/>
              <w:b/>
              <w:noProof/>
              <w:spacing w:val="-14"/>
              <w:szCs w:val="56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48C1878D" wp14:editId="4379FEA5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-7941945</wp:posOffset>
                    </wp:positionV>
                    <wp:extent cx="0" cy="8248650"/>
                    <wp:effectExtent l="19050" t="0" r="38100" b="19050"/>
                    <wp:wrapNone/>
                    <wp:docPr id="5" name="Straight Connector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>
                            <a:xfrm>
                              <a:off x="0" y="0"/>
                              <a:ext cx="0" cy="8248650"/>
                            </a:xfrm>
                            <a:prstGeom prst="line">
                              <a:avLst/>
                            </a:prstGeom>
                            <a:ln w="63500">
                              <a:solidFill>
                                <a:srgbClr val="0064A4"/>
                              </a:solidFill>
                              <a:miter lim="800000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-625.35pt" to="-3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" strokecolor="#0064a4" strokeweight="5pt">
                    <v:stroke joinstyle="miter"/>
                    <o:lock v:ext="edit" aspectratio="t" shapetype="f"/>
                    <w10:anchorlock/>
                  </v:line>
                </w:pict>
              </mc:Fallback>
            </mc:AlternateContent>
          </w:r>
          <w:r w:rsidRPr="00DA196A">
            <w:rPr>
              <w:rStyle w:val="Hyperlink"/>
              <w:rFonts w:cs="Arial"/>
              <w:szCs w:val="24"/>
            </w:rPr>
            <w:tab/>
          </w:r>
          <w:r w:rsidRPr="0065085B">
            <w:rPr>
              <w:rStyle w:val="Hyperlink"/>
              <w:rFonts w:cs="Arial"/>
              <w:color w:val="DD5926"/>
              <w:szCs w:val="24"/>
            </w:rPr>
            <w:t>www.</w:t>
          </w:r>
          <w:hyperlink r:id="rId1" w:history="1">
            <w:r>
              <w:rPr>
                <w:rStyle w:val="Hyperlink"/>
                <w:rFonts w:cs="Arial"/>
                <w:color w:val="DD5926"/>
                <w:szCs w:val="24"/>
              </w:rPr>
              <w:t>C</w:t>
            </w:r>
            <w:r w:rsidRPr="0065085B">
              <w:rPr>
                <w:rStyle w:val="Hyperlink"/>
                <w:rFonts w:cs="Arial"/>
                <w:color w:val="DD5926"/>
                <w:szCs w:val="24"/>
              </w:rPr>
              <w:t>ampaignfor</w:t>
            </w:r>
            <w:r>
              <w:rPr>
                <w:rStyle w:val="Hyperlink"/>
                <w:rFonts w:cs="Arial"/>
                <w:color w:val="DD5926"/>
                <w:szCs w:val="24"/>
              </w:rPr>
              <w:t>A</w:t>
            </w:r>
            <w:r w:rsidRPr="0065085B">
              <w:rPr>
                <w:rStyle w:val="Hyperlink"/>
                <w:rFonts w:cs="Arial"/>
                <w:color w:val="DD5926"/>
                <w:szCs w:val="24"/>
              </w:rPr>
              <w:t>ction.org</w:t>
            </w:r>
          </w:hyperlink>
          <w:r>
            <w:rPr>
              <w:rFonts w:ascii="GaramondPremrPro" w:hAnsi="GaramondPremrPro" w:cs="GaramondPremrPro"/>
              <w:color w:val="DD5926"/>
              <w:sz w:val="20"/>
              <w:szCs w:val="20"/>
            </w:rPr>
            <w:tab/>
          </w:r>
          <w:r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fldChar w:fldCharType="begin"/>
          </w:r>
          <w:r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instrText xml:space="preserve"> PAGE   \* MERGEFORMAT </w:instrText>
          </w:r>
          <w:r w:rsidRPr="009B0340">
            <w:rPr>
              <w:rFonts w:ascii="GaramondPremrPro" w:hAnsi="GaramondPremrPro" w:cs="GaramondPremrPro"/>
              <w:color w:val="0064A4"/>
              <w:sz w:val="20"/>
              <w:szCs w:val="20"/>
            </w:rPr>
            <w:fldChar w:fldCharType="separate"/>
          </w:r>
          <w:r w:rsidR="00FC4CCB">
            <w:rPr>
              <w:rFonts w:ascii="GaramondPremrPro" w:hAnsi="GaramondPremrPro" w:cs="GaramondPremrPro"/>
              <w:noProof/>
              <w:color w:val="0064A4"/>
              <w:sz w:val="20"/>
              <w:szCs w:val="20"/>
            </w:rPr>
            <w:t>3</w:t>
          </w:r>
          <w:r w:rsidRPr="009B0340">
            <w:rPr>
              <w:rFonts w:ascii="GaramondPremrPro" w:hAnsi="GaramondPremrPro" w:cs="GaramondPremrPro"/>
              <w:noProof/>
              <w:color w:val="0064A4"/>
              <w:sz w:val="20"/>
              <w:szCs w:val="20"/>
            </w:rPr>
            <w:fldChar w:fldCharType="end"/>
          </w:r>
        </w:p>
      </w:tc>
    </w:tr>
  </w:tbl>
  <w:p w:rsidR="00345FEA" w:rsidRDefault="00345FEA" w:rsidP="00BD3B7A">
    <w:pPr>
      <w:rPr>
        <w:sz w:val="20"/>
        <w:szCs w:val="20"/>
      </w:rPr>
    </w:pPr>
  </w:p>
  <w:p w:rsidR="00345FEA" w:rsidRDefault="00345FEA" w:rsidP="00BD3B7A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A2AD24A" wp14:editId="17D22C43">
          <wp:simplePos x="0" y="0"/>
          <wp:positionH relativeFrom="page">
            <wp:posOffset>769620</wp:posOffset>
          </wp:positionH>
          <wp:positionV relativeFrom="page">
            <wp:posOffset>9528620</wp:posOffset>
          </wp:positionV>
          <wp:extent cx="2687955" cy="429260"/>
          <wp:effectExtent l="0" t="0" r="0" b="8890"/>
          <wp:wrapNone/>
          <wp:docPr id="3" name="Picture 3" descr="Description: C&amp;C_Logo_new-01.png                                            005E00EBMacintosh HD                   C075BFEC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&amp;C_Logo_new-01.png                                            005E00EBMacintosh HD                   C075BFEC: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5" t="43971" r="22612" b="48557"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79F7">
      <w:rPr>
        <w:sz w:val="20"/>
        <w:szCs w:val="20"/>
      </w:rPr>
      <w:t>Prepared By</w:t>
    </w:r>
    <w:r>
      <w:rPr>
        <w:sz w:val="20"/>
        <w:szCs w:val="20"/>
      </w:rPr>
      <w:t>:</w:t>
    </w:r>
  </w:p>
  <w:p w:rsidR="00345FEA" w:rsidRPr="009B0340" w:rsidRDefault="00345FEA" w:rsidP="00B2716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0" w:type="dxa"/>
      <w:tblInd w:w="-432" w:type="dxa"/>
      <w:tblBorders>
        <w:top w:val="single" w:sz="2" w:space="0" w:color="0064A4"/>
        <w:left w:val="single" w:sz="2" w:space="0" w:color="0064A4"/>
        <w:bottom w:val="single" w:sz="2" w:space="0" w:color="0064A4"/>
        <w:right w:val="single" w:sz="2" w:space="0" w:color="0064A4"/>
        <w:insideH w:val="single" w:sz="2" w:space="0" w:color="0064A4"/>
        <w:insideV w:val="single" w:sz="2" w:space="0" w:color="0064A4"/>
      </w:tblBorders>
      <w:tblLook w:val="04A0" w:firstRow="1" w:lastRow="0" w:firstColumn="1" w:lastColumn="0" w:noHBand="0" w:noVBand="1"/>
    </w:tblPr>
    <w:tblGrid>
      <w:gridCol w:w="11160"/>
    </w:tblGrid>
    <w:tr w:rsidR="00345FEA" w:rsidRPr="006574E6" w:rsidTr="0087666D">
      <w:tc>
        <w:tcPr>
          <w:tcW w:w="11160" w:type="dxa"/>
        </w:tcPr>
        <w:p w:rsidR="00345FEA" w:rsidRPr="006574E6" w:rsidRDefault="00345FEA" w:rsidP="0087666D">
          <w:pPr>
            <w:tabs>
              <w:tab w:val="center" w:pos="5564"/>
              <w:tab w:val="right" w:pos="10782"/>
            </w:tabs>
            <w:spacing w:before="120"/>
            <w:ind w:left="432"/>
            <w:rPr>
              <w:rFonts w:cs="Arial"/>
              <w:sz w:val="20"/>
              <w:szCs w:val="20"/>
            </w:rPr>
          </w:pPr>
          <w:r w:rsidRPr="006574E6">
            <w:rPr>
              <w:rStyle w:val="Hyperlink"/>
              <w:rFonts w:cs="Arial"/>
              <w:szCs w:val="24"/>
            </w:rPr>
            <w:tab/>
          </w:r>
          <w:r>
            <w:rPr>
              <w:rFonts w:cs="Arial"/>
              <w:b/>
              <w:color w:val="F15B50"/>
              <w:sz w:val="20"/>
              <w:szCs w:val="20"/>
            </w:rPr>
            <w:t>www.CampaignforAction.org</w:t>
          </w:r>
          <w:r w:rsidRPr="006574E6">
            <w:rPr>
              <w:rFonts w:cs="Arial"/>
              <w:color w:val="DD5926"/>
              <w:sz w:val="20"/>
              <w:szCs w:val="20"/>
            </w:rPr>
            <w:tab/>
          </w:r>
          <w:r w:rsidRPr="006574E6">
            <w:rPr>
              <w:rFonts w:cs="Arial"/>
              <w:color w:val="0064A4"/>
              <w:sz w:val="20"/>
              <w:szCs w:val="20"/>
            </w:rPr>
            <w:fldChar w:fldCharType="begin"/>
          </w:r>
          <w:r w:rsidRPr="006574E6">
            <w:rPr>
              <w:rFonts w:cs="Arial"/>
              <w:color w:val="0064A4"/>
              <w:sz w:val="20"/>
              <w:szCs w:val="20"/>
            </w:rPr>
            <w:instrText xml:space="preserve"> PAGE   \* MERGEFORMAT </w:instrText>
          </w:r>
          <w:r w:rsidRPr="006574E6">
            <w:rPr>
              <w:rFonts w:cs="Arial"/>
              <w:color w:val="0064A4"/>
              <w:sz w:val="20"/>
              <w:szCs w:val="20"/>
            </w:rPr>
            <w:fldChar w:fldCharType="separate"/>
          </w:r>
          <w:r w:rsidR="00FC4CCB">
            <w:rPr>
              <w:rFonts w:cs="Arial"/>
              <w:noProof/>
              <w:color w:val="0064A4"/>
              <w:sz w:val="20"/>
              <w:szCs w:val="20"/>
            </w:rPr>
            <w:t>1</w:t>
          </w:r>
          <w:r w:rsidRPr="006574E6">
            <w:rPr>
              <w:rFonts w:cs="Arial"/>
              <w:noProof/>
              <w:color w:val="0064A4"/>
              <w:sz w:val="20"/>
              <w:szCs w:val="20"/>
            </w:rPr>
            <w:fldChar w:fldCharType="end"/>
          </w:r>
        </w:p>
      </w:tc>
    </w:tr>
  </w:tbl>
  <w:p w:rsidR="00345FEA" w:rsidRDefault="00345FEA" w:rsidP="0011720B">
    <w:pPr>
      <w:rPr>
        <w:sz w:val="20"/>
        <w:szCs w:val="20"/>
      </w:rPr>
    </w:pPr>
  </w:p>
  <w:p w:rsidR="00345FEA" w:rsidRDefault="00345FEA" w:rsidP="0011720B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21028FB" wp14:editId="5100F97A">
          <wp:simplePos x="0" y="0"/>
          <wp:positionH relativeFrom="page">
            <wp:posOffset>769620</wp:posOffset>
          </wp:positionH>
          <wp:positionV relativeFrom="page">
            <wp:posOffset>9528620</wp:posOffset>
          </wp:positionV>
          <wp:extent cx="2687955" cy="429260"/>
          <wp:effectExtent l="0" t="0" r="0" b="8890"/>
          <wp:wrapNone/>
          <wp:docPr id="9" name="Picture 9" descr="Description: C&amp;C_Logo_new-01.png                                            005E00EBMacintosh HD                   C075BFEC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&amp;C_Logo_new-01.png                                            005E00EBMacintosh HD                   C075BFEC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5" t="43971" r="22612" b="48557"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79F7">
      <w:rPr>
        <w:sz w:val="20"/>
        <w:szCs w:val="20"/>
      </w:rPr>
      <w:t>Prepared By</w:t>
    </w:r>
    <w:r>
      <w:rPr>
        <w:sz w:val="20"/>
        <w:szCs w:val="20"/>
      </w:rPr>
      <w:t>:</w:t>
    </w:r>
  </w:p>
  <w:p w:rsidR="00345FEA" w:rsidRPr="009B0340" w:rsidRDefault="00345FEA" w:rsidP="0011720B">
    <w:pPr>
      <w:rPr>
        <w:sz w:val="2"/>
        <w:szCs w:val="2"/>
      </w:rPr>
    </w:pPr>
    <w:r>
      <w:rPr>
        <w:rFonts w:ascii="HelveticaNeueLT Std Hvy" w:hAnsi="HelveticaNeueLT Std Hvy"/>
        <w:b/>
        <w:noProof/>
        <w:spacing w:val="-14"/>
        <w:szCs w:val="56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D6FA46C" wp14:editId="2F039AAD">
              <wp:simplePos x="0" y="0"/>
              <wp:positionH relativeFrom="column">
                <wp:posOffset>-333375</wp:posOffset>
              </wp:positionH>
              <wp:positionV relativeFrom="paragraph">
                <wp:posOffset>-7814945</wp:posOffset>
              </wp:positionV>
              <wp:extent cx="0" cy="7315200"/>
              <wp:effectExtent l="19050" t="0" r="38100" b="19050"/>
              <wp:wrapNone/>
              <wp:docPr id="1" name="Straight Connec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0" cy="7315200"/>
                      </a:xfrm>
                      <a:prstGeom prst="line">
                        <a:avLst/>
                      </a:prstGeom>
                      <a:ln w="63500">
                        <a:solidFill>
                          <a:srgbClr val="0064A4"/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-615.35pt" to="-26.25pt,-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" strokecolor="#0064a4" strokeweight="5pt">
              <v:stroke joinstyle="miter"/>
              <o:lock v:ext="edit" aspectratio="t" shapetype="f"/>
              <w10:anchorlock/>
            </v:line>
          </w:pict>
        </mc:Fallback>
      </mc:AlternateContent>
    </w:r>
  </w:p>
  <w:p w:rsidR="00345FEA" w:rsidRPr="009B0340" w:rsidRDefault="00345FEA" w:rsidP="00AA6DF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EA" w:rsidRDefault="00345FEA" w:rsidP="009B0340">
      <w:r>
        <w:separator/>
      </w:r>
    </w:p>
  </w:footnote>
  <w:footnote w:type="continuationSeparator" w:id="0">
    <w:p w:rsidR="00345FEA" w:rsidRDefault="00345FEA" w:rsidP="009B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EA" w:rsidRDefault="00345FEA">
    <w:pPr>
      <w:pStyle w:val="Header"/>
    </w:pPr>
  </w:p>
  <w:p w:rsidR="00345FEA" w:rsidRDefault="00345FEA">
    <w:pPr>
      <w:pStyle w:val="Header"/>
    </w:pPr>
  </w:p>
  <w:p w:rsidR="00345FEA" w:rsidRDefault="00345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10" w:rsidRDefault="000D4D1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C07A3E9" wp14:editId="1C27E4A2">
          <wp:simplePos x="0" y="0"/>
          <wp:positionH relativeFrom="column">
            <wp:posOffset>-85725</wp:posOffset>
          </wp:positionH>
          <wp:positionV relativeFrom="paragraph">
            <wp:posOffset>182880</wp:posOffset>
          </wp:positionV>
          <wp:extent cx="6629400" cy="11379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_CCNA_color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D10" w:rsidRDefault="000D4D10">
    <w:pPr>
      <w:pStyle w:val="Header"/>
    </w:pPr>
  </w:p>
  <w:p w:rsidR="000D4D10" w:rsidRDefault="000D4D10">
    <w:pPr>
      <w:pStyle w:val="Header"/>
    </w:pPr>
  </w:p>
  <w:p w:rsidR="00345FEA" w:rsidRDefault="00345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E5E"/>
    <w:multiLevelType w:val="hybridMultilevel"/>
    <w:tmpl w:val="6D469662"/>
    <w:lvl w:ilvl="0" w:tplc="D1DED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8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2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2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A9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EB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4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0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A7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204DF"/>
    <w:multiLevelType w:val="hybridMultilevel"/>
    <w:tmpl w:val="3F4A5438"/>
    <w:lvl w:ilvl="0" w:tplc="DEFE7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4FDA"/>
    <w:multiLevelType w:val="hybridMultilevel"/>
    <w:tmpl w:val="028AA4C2"/>
    <w:lvl w:ilvl="0" w:tplc="1D42C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562C"/>
    <w:multiLevelType w:val="hybridMultilevel"/>
    <w:tmpl w:val="2BAE012C"/>
    <w:lvl w:ilvl="0" w:tplc="5F720E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80ED3"/>
    <w:multiLevelType w:val="hybridMultilevel"/>
    <w:tmpl w:val="B45A8AA0"/>
    <w:lvl w:ilvl="0" w:tplc="88327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D57F7"/>
    <w:multiLevelType w:val="hybridMultilevel"/>
    <w:tmpl w:val="67BE48DE"/>
    <w:lvl w:ilvl="0" w:tplc="C0F64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333546"/>
    <w:multiLevelType w:val="hybridMultilevel"/>
    <w:tmpl w:val="09767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B31F9"/>
    <w:multiLevelType w:val="hybridMultilevel"/>
    <w:tmpl w:val="BD6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06170"/>
    <w:multiLevelType w:val="hybridMultilevel"/>
    <w:tmpl w:val="C10C8E78"/>
    <w:lvl w:ilvl="0" w:tplc="652C9D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2277C"/>
    <w:multiLevelType w:val="hybridMultilevel"/>
    <w:tmpl w:val="B5CC0B68"/>
    <w:lvl w:ilvl="0" w:tplc="556CA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978DC"/>
    <w:multiLevelType w:val="hybridMultilevel"/>
    <w:tmpl w:val="EEBC4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2A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311A2"/>
    <w:multiLevelType w:val="hybridMultilevel"/>
    <w:tmpl w:val="DA76878A"/>
    <w:lvl w:ilvl="0" w:tplc="72884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A2C3A">
      <w:start w:val="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41D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86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C5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6B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AD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CA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24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F7745"/>
    <w:multiLevelType w:val="hybridMultilevel"/>
    <w:tmpl w:val="C076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7353B"/>
    <w:multiLevelType w:val="hybridMultilevel"/>
    <w:tmpl w:val="87CC014E"/>
    <w:lvl w:ilvl="0" w:tplc="77AE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96258"/>
    <w:multiLevelType w:val="hybridMultilevel"/>
    <w:tmpl w:val="66D46CD0"/>
    <w:lvl w:ilvl="0" w:tplc="DEFE7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D5D25"/>
    <w:multiLevelType w:val="hybridMultilevel"/>
    <w:tmpl w:val="8F4E2BC2"/>
    <w:lvl w:ilvl="0" w:tplc="6F405EEA">
      <w:start w:val="1"/>
      <w:numFmt w:val="decimal"/>
      <w:pStyle w:val="Numbers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D592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86708"/>
    <w:multiLevelType w:val="hybridMultilevel"/>
    <w:tmpl w:val="B2B6A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24AD4"/>
    <w:multiLevelType w:val="hybridMultilevel"/>
    <w:tmpl w:val="EB0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C6D0B"/>
    <w:multiLevelType w:val="hybridMultilevel"/>
    <w:tmpl w:val="811688D4"/>
    <w:lvl w:ilvl="0" w:tplc="9B82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D4502"/>
    <w:multiLevelType w:val="hybridMultilevel"/>
    <w:tmpl w:val="C556EE2A"/>
    <w:lvl w:ilvl="0" w:tplc="652C9D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C578F3"/>
    <w:multiLevelType w:val="hybridMultilevel"/>
    <w:tmpl w:val="BC44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71ED1"/>
    <w:multiLevelType w:val="hybridMultilevel"/>
    <w:tmpl w:val="1BDC5118"/>
    <w:lvl w:ilvl="0" w:tplc="88327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623F0"/>
    <w:multiLevelType w:val="hybridMultilevel"/>
    <w:tmpl w:val="C8F6296A"/>
    <w:lvl w:ilvl="0" w:tplc="4F4EBA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5F5448"/>
    <w:multiLevelType w:val="multilevel"/>
    <w:tmpl w:val="2DC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8F4706"/>
    <w:multiLevelType w:val="hybridMultilevel"/>
    <w:tmpl w:val="03A67176"/>
    <w:lvl w:ilvl="0" w:tplc="88327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B1874"/>
    <w:multiLevelType w:val="hybridMultilevel"/>
    <w:tmpl w:val="BD6EACCC"/>
    <w:lvl w:ilvl="0" w:tplc="96362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6E58">
      <w:start w:val="6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C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49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4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8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A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C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28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56C794F"/>
    <w:multiLevelType w:val="hybridMultilevel"/>
    <w:tmpl w:val="416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23309"/>
    <w:multiLevelType w:val="hybridMultilevel"/>
    <w:tmpl w:val="15A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0017A"/>
    <w:multiLevelType w:val="hybridMultilevel"/>
    <w:tmpl w:val="A7F4AC90"/>
    <w:lvl w:ilvl="0" w:tplc="3C6A0E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5616B"/>
    <w:multiLevelType w:val="hybridMultilevel"/>
    <w:tmpl w:val="071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825FF"/>
    <w:multiLevelType w:val="hybridMultilevel"/>
    <w:tmpl w:val="7C263584"/>
    <w:lvl w:ilvl="0" w:tplc="6B9A68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color w:val="DD59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C065C3"/>
    <w:multiLevelType w:val="hybridMultilevel"/>
    <w:tmpl w:val="829654A4"/>
    <w:lvl w:ilvl="0" w:tplc="8A06A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442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64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08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86A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E3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C2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09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23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B53C9"/>
    <w:multiLevelType w:val="hybridMultilevel"/>
    <w:tmpl w:val="2266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92E03"/>
    <w:multiLevelType w:val="hybridMultilevel"/>
    <w:tmpl w:val="2542CA44"/>
    <w:lvl w:ilvl="0" w:tplc="312847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404865"/>
    <w:multiLevelType w:val="hybridMultilevel"/>
    <w:tmpl w:val="23B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D0413"/>
    <w:multiLevelType w:val="hybridMultilevel"/>
    <w:tmpl w:val="E956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47745D"/>
    <w:multiLevelType w:val="hybridMultilevel"/>
    <w:tmpl w:val="D6B2190E"/>
    <w:lvl w:ilvl="0" w:tplc="B2723E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F1726B"/>
    <w:multiLevelType w:val="hybridMultilevel"/>
    <w:tmpl w:val="99E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1056E"/>
    <w:multiLevelType w:val="hybridMultilevel"/>
    <w:tmpl w:val="8CE6F890"/>
    <w:lvl w:ilvl="0" w:tplc="9468F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A3261"/>
    <w:multiLevelType w:val="hybridMultilevel"/>
    <w:tmpl w:val="E230D162"/>
    <w:lvl w:ilvl="0" w:tplc="3A0C4D4C">
      <w:start w:val="1"/>
      <w:numFmt w:val="bullet"/>
      <w:pStyle w:val="ListParagraph"/>
      <w:lvlText w:val=""/>
      <w:lvlJc w:val="left"/>
      <w:pPr>
        <w:ind w:left="1530" w:hanging="360"/>
      </w:pPr>
      <w:rPr>
        <w:rFonts w:ascii="Symbol" w:hAnsi="Symbol" w:hint="default"/>
        <w:color w:val="DD59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B6A0C"/>
    <w:multiLevelType w:val="hybridMultilevel"/>
    <w:tmpl w:val="2B5E0D7A"/>
    <w:lvl w:ilvl="0" w:tplc="C0A2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55CAE"/>
    <w:multiLevelType w:val="hybridMultilevel"/>
    <w:tmpl w:val="AD0AC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C0DCD"/>
    <w:multiLevelType w:val="hybridMultilevel"/>
    <w:tmpl w:val="384C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55625"/>
    <w:multiLevelType w:val="hybridMultilevel"/>
    <w:tmpl w:val="2098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89264F"/>
    <w:multiLevelType w:val="hybridMultilevel"/>
    <w:tmpl w:val="CEA8826C"/>
    <w:lvl w:ilvl="0" w:tplc="F9D2A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64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05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A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E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A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B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A3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7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E55ED7"/>
    <w:multiLevelType w:val="hybridMultilevel"/>
    <w:tmpl w:val="54F26044"/>
    <w:lvl w:ilvl="0" w:tplc="8E5C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35"/>
  </w:num>
  <w:num w:numId="5">
    <w:abstractNumId w:val="5"/>
  </w:num>
  <w:num w:numId="6">
    <w:abstractNumId w:val="9"/>
  </w:num>
  <w:num w:numId="7">
    <w:abstractNumId w:val="15"/>
    <w:lvlOverride w:ilvl="0">
      <w:startOverride w:val="1"/>
    </w:lvlOverride>
  </w:num>
  <w:num w:numId="8">
    <w:abstractNumId w:val="42"/>
  </w:num>
  <w:num w:numId="9">
    <w:abstractNumId w:val="20"/>
  </w:num>
  <w:num w:numId="10">
    <w:abstractNumId w:val="12"/>
  </w:num>
  <w:num w:numId="11">
    <w:abstractNumId w:val="16"/>
  </w:num>
  <w:num w:numId="12">
    <w:abstractNumId w:val="41"/>
  </w:num>
  <w:num w:numId="13">
    <w:abstractNumId w:val="13"/>
  </w:num>
  <w:num w:numId="14">
    <w:abstractNumId w:val="21"/>
  </w:num>
  <w:num w:numId="15">
    <w:abstractNumId w:val="4"/>
  </w:num>
  <w:num w:numId="16">
    <w:abstractNumId w:val="24"/>
  </w:num>
  <w:num w:numId="17">
    <w:abstractNumId w:val="45"/>
  </w:num>
  <w:num w:numId="18">
    <w:abstractNumId w:val="14"/>
  </w:num>
  <w:num w:numId="19">
    <w:abstractNumId w:val="18"/>
  </w:num>
  <w:num w:numId="20">
    <w:abstractNumId w:val="2"/>
  </w:num>
  <w:num w:numId="21">
    <w:abstractNumId w:val="33"/>
  </w:num>
  <w:num w:numId="22">
    <w:abstractNumId w:val="39"/>
  </w:num>
  <w:num w:numId="23">
    <w:abstractNumId w:val="19"/>
  </w:num>
  <w:num w:numId="24">
    <w:abstractNumId w:val="40"/>
  </w:num>
  <w:num w:numId="25">
    <w:abstractNumId w:val="36"/>
  </w:num>
  <w:num w:numId="26">
    <w:abstractNumId w:val="30"/>
  </w:num>
  <w:num w:numId="27">
    <w:abstractNumId w:val="6"/>
  </w:num>
  <w:num w:numId="28">
    <w:abstractNumId w:val="1"/>
  </w:num>
  <w:num w:numId="29">
    <w:abstractNumId w:val="8"/>
  </w:num>
  <w:num w:numId="30">
    <w:abstractNumId w:val="22"/>
  </w:num>
  <w:num w:numId="31">
    <w:abstractNumId w:val="7"/>
  </w:num>
  <w:num w:numId="32">
    <w:abstractNumId w:val="26"/>
  </w:num>
  <w:num w:numId="33">
    <w:abstractNumId w:val="31"/>
  </w:num>
  <w:num w:numId="34">
    <w:abstractNumId w:val="0"/>
  </w:num>
  <w:num w:numId="35">
    <w:abstractNumId w:val="44"/>
  </w:num>
  <w:num w:numId="36">
    <w:abstractNumId w:val="25"/>
  </w:num>
  <w:num w:numId="37">
    <w:abstractNumId w:val="23"/>
  </w:num>
  <w:num w:numId="38">
    <w:abstractNumId w:val="11"/>
  </w:num>
  <w:num w:numId="39">
    <w:abstractNumId w:val="32"/>
  </w:num>
  <w:num w:numId="40">
    <w:abstractNumId w:val="29"/>
  </w:num>
  <w:num w:numId="41">
    <w:abstractNumId w:val="17"/>
  </w:num>
  <w:num w:numId="42">
    <w:abstractNumId w:val="37"/>
  </w:num>
  <w:num w:numId="43">
    <w:abstractNumId w:val="34"/>
  </w:num>
  <w:num w:numId="44">
    <w:abstractNumId w:val="28"/>
  </w:num>
  <w:num w:numId="45">
    <w:abstractNumId w:val="3"/>
  </w:num>
  <w:num w:numId="46">
    <w:abstractNumId w:val="39"/>
  </w:num>
  <w:num w:numId="47">
    <w:abstractNumId w:val="39"/>
  </w:num>
  <w:num w:numId="48">
    <w:abstractNumId w:val="4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0"/>
    <w:rsid w:val="00002D44"/>
    <w:rsid w:val="00014CD9"/>
    <w:rsid w:val="000527F3"/>
    <w:rsid w:val="00054AB1"/>
    <w:rsid w:val="00060DA1"/>
    <w:rsid w:val="00073282"/>
    <w:rsid w:val="000A679C"/>
    <w:rsid w:val="000D4D10"/>
    <w:rsid w:val="000F6CC2"/>
    <w:rsid w:val="0011720B"/>
    <w:rsid w:val="0011763D"/>
    <w:rsid w:val="00121BF9"/>
    <w:rsid w:val="0014308A"/>
    <w:rsid w:val="00154CF6"/>
    <w:rsid w:val="00164E80"/>
    <w:rsid w:val="00197BB6"/>
    <w:rsid w:val="001A549F"/>
    <w:rsid w:val="001E5311"/>
    <w:rsid w:val="00241BE1"/>
    <w:rsid w:val="002914C5"/>
    <w:rsid w:val="002A531E"/>
    <w:rsid w:val="002C44B4"/>
    <w:rsid w:val="002C5DED"/>
    <w:rsid w:val="002F3ADD"/>
    <w:rsid w:val="00300C5A"/>
    <w:rsid w:val="00327BCF"/>
    <w:rsid w:val="00345FEA"/>
    <w:rsid w:val="003559A9"/>
    <w:rsid w:val="00356A17"/>
    <w:rsid w:val="00380890"/>
    <w:rsid w:val="003851AA"/>
    <w:rsid w:val="003A4601"/>
    <w:rsid w:val="003A7C1C"/>
    <w:rsid w:val="003B2468"/>
    <w:rsid w:val="003F1372"/>
    <w:rsid w:val="00410933"/>
    <w:rsid w:val="00414C0E"/>
    <w:rsid w:val="004363B8"/>
    <w:rsid w:val="00437042"/>
    <w:rsid w:val="00467F33"/>
    <w:rsid w:val="00484504"/>
    <w:rsid w:val="00497416"/>
    <w:rsid w:val="004A2C34"/>
    <w:rsid w:val="004D631A"/>
    <w:rsid w:val="004F282D"/>
    <w:rsid w:val="005275D6"/>
    <w:rsid w:val="00551F17"/>
    <w:rsid w:val="00595985"/>
    <w:rsid w:val="005A3CC8"/>
    <w:rsid w:val="005A6B7C"/>
    <w:rsid w:val="00642657"/>
    <w:rsid w:val="0065085B"/>
    <w:rsid w:val="006574E6"/>
    <w:rsid w:val="0066176B"/>
    <w:rsid w:val="00663E10"/>
    <w:rsid w:val="006A6128"/>
    <w:rsid w:val="006B1D60"/>
    <w:rsid w:val="006B551F"/>
    <w:rsid w:val="006C1105"/>
    <w:rsid w:val="00701250"/>
    <w:rsid w:val="007312C5"/>
    <w:rsid w:val="007341E0"/>
    <w:rsid w:val="0077238A"/>
    <w:rsid w:val="00796F3F"/>
    <w:rsid w:val="007D5213"/>
    <w:rsid w:val="00832B9D"/>
    <w:rsid w:val="0087666D"/>
    <w:rsid w:val="008A3FB8"/>
    <w:rsid w:val="008C147D"/>
    <w:rsid w:val="008D5E07"/>
    <w:rsid w:val="008F22FC"/>
    <w:rsid w:val="008F574B"/>
    <w:rsid w:val="0092195C"/>
    <w:rsid w:val="00930A12"/>
    <w:rsid w:val="00953CF1"/>
    <w:rsid w:val="00964F80"/>
    <w:rsid w:val="00980957"/>
    <w:rsid w:val="009B0340"/>
    <w:rsid w:val="009C6A05"/>
    <w:rsid w:val="009D09DB"/>
    <w:rsid w:val="00A023F3"/>
    <w:rsid w:val="00A060EF"/>
    <w:rsid w:val="00A142E4"/>
    <w:rsid w:val="00A46BA1"/>
    <w:rsid w:val="00A72D67"/>
    <w:rsid w:val="00A8690E"/>
    <w:rsid w:val="00A96FF1"/>
    <w:rsid w:val="00AA4E92"/>
    <w:rsid w:val="00AA6DFC"/>
    <w:rsid w:val="00AD3999"/>
    <w:rsid w:val="00AD4908"/>
    <w:rsid w:val="00AE7B3B"/>
    <w:rsid w:val="00AF4AE2"/>
    <w:rsid w:val="00B0009D"/>
    <w:rsid w:val="00B14DA8"/>
    <w:rsid w:val="00B27166"/>
    <w:rsid w:val="00B3392D"/>
    <w:rsid w:val="00B34EF6"/>
    <w:rsid w:val="00B53CE4"/>
    <w:rsid w:val="00B71815"/>
    <w:rsid w:val="00B9397C"/>
    <w:rsid w:val="00BA42C7"/>
    <w:rsid w:val="00BB1A40"/>
    <w:rsid w:val="00BC1A5B"/>
    <w:rsid w:val="00BD3B7A"/>
    <w:rsid w:val="00C0243A"/>
    <w:rsid w:val="00C052FE"/>
    <w:rsid w:val="00C10728"/>
    <w:rsid w:val="00C803EC"/>
    <w:rsid w:val="00CA5D52"/>
    <w:rsid w:val="00CD656F"/>
    <w:rsid w:val="00CE1000"/>
    <w:rsid w:val="00D13CFD"/>
    <w:rsid w:val="00DA196A"/>
    <w:rsid w:val="00DC42ED"/>
    <w:rsid w:val="00DC6302"/>
    <w:rsid w:val="00DD17B4"/>
    <w:rsid w:val="00DF28CA"/>
    <w:rsid w:val="00E208A4"/>
    <w:rsid w:val="00E80557"/>
    <w:rsid w:val="00E82E40"/>
    <w:rsid w:val="00EA1A80"/>
    <w:rsid w:val="00EA27F9"/>
    <w:rsid w:val="00EB4F6F"/>
    <w:rsid w:val="00ED50FD"/>
    <w:rsid w:val="00ED6A90"/>
    <w:rsid w:val="00EF0A65"/>
    <w:rsid w:val="00F13F75"/>
    <w:rsid w:val="00F375B5"/>
    <w:rsid w:val="00F4702E"/>
    <w:rsid w:val="00F62A5F"/>
    <w:rsid w:val="00F840E8"/>
    <w:rsid w:val="00FB27D3"/>
    <w:rsid w:val="00FC4CCB"/>
    <w:rsid w:val="00FD486F"/>
    <w:rsid w:val="00FE22DF"/>
    <w:rsid w:val="00FE387B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nhideWhenUsed="0"/>
    <w:lsdException w:name="Subtitle" w:uiPriority="11" w:unhideWhenUsed="0" w:qFormat="1"/>
    <w:lsdException w:name="Block Tex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10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9A9"/>
    <w:pPr>
      <w:keepNext/>
      <w:keepLines/>
      <w:pBdr>
        <w:top w:val="single" w:sz="4" w:space="6" w:color="0064A4"/>
        <w:left w:val="single" w:sz="4" w:space="26" w:color="0064A4"/>
        <w:bottom w:val="single" w:sz="4" w:space="6" w:color="0064A4"/>
        <w:right w:val="single" w:sz="4" w:space="6" w:color="0064A4"/>
      </w:pBdr>
      <w:spacing w:before="240" w:after="240"/>
      <w:outlineLvl w:val="0"/>
    </w:pPr>
    <w:rPr>
      <w:rFonts w:eastAsiaTheme="majorEastAsia" w:cstheme="majorBidi"/>
      <w:b/>
      <w:bCs/>
      <w:color w:val="0064A4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75D6"/>
    <w:pPr>
      <w:keepNext/>
      <w:outlineLvl w:val="1"/>
    </w:pPr>
    <w:rPr>
      <w:rFonts w:cs="Arial"/>
      <w:b/>
      <w:color w:val="0064A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5311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0064A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9A9"/>
    <w:rPr>
      <w:rFonts w:ascii="Arial" w:eastAsiaTheme="majorEastAsia" w:hAnsi="Arial" w:cstheme="majorBidi"/>
      <w:b/>
      <w:bCs/>
      <w:color w:val="0064A4"/>
      <w:sz w:val="56"/>
      <w:szCs w:val="28"/>
    </w:rPr>
  </w:style>
  <w:style w:type="character" w:customStyle="1" w:styleId="Lead-In">
    <w:name w:val="Lead-In"/>
    <w:uiPriority w:val="99"/>
    <w:rsid w:val="001E5311"/>
    <w:rPr>
      <w:rFonts w:ascii="Arial" w:hAnsi="Arial" w:cs="GaramondPremrPro"/>
      <w:b/>
      <w:i w:val="0"/>
      <w:color w:val="DD5926"/>
      <w:spacing w:val="0"/>
      <w:sz w:val="40"/>
      <w:szCs w:val="46"/>
      <w:vertAlign w:val="baseline"/>
    </w:rPr>
  </w:style>
  <w:style w:type="paragraph" w:styleId="BodyText">
    <w:name w:val="Body Text"/>
    <w:basedOn w:val="Normal"/>
    <w:link w:val="BodyTextChar"/>
    <w:uiPriority w:val="99"/>
    <w:rsid w:val="00AA4E92"/>
    <w:pPr>
      <w:spacing w:after="200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A4E92"/>
    <w:rPr>
      <w:rFonts w:ascii="Garamond" w:hAnsi="Garamond"/>
      <w:sz w:val="32"/>
    </w:rPr>
  </w:style>
  <w:style w:type="paragraph" w:customStyle="1" w:styleId="BodyText2">
    <w:name w:val="Body Text2"/>
    <w:basedOn w:val="BodyText"/>
    <w:qFormat/>
    <w:rsid w:val="003559A9"/>
    <w:rPr>
      <w:sz w:val="22"/>
      <w:szCs w:val="28"/>
    </w:rPr>
  </w:style>
  <w:style w:type="paragraph" w:customStyle="1" w:styleId="Bullet1">
    <w:name w:val="Bullet 1"/>
    <w:basedOn w:val="ListParagraph"/>
    <w:qFormat/>
    <w:rsid w:val="002F3ADD"/>
    <w:pPr>
      <w:spacing w:line="276" w:lineRule="auto"/>
    </w:pPr>
  </w:style>
  <w:style w:type="paragraph" w:customStyle="1" w:styleId="Numbers">
    <w:name w:val="Numbers"/>
    <w:basedOn w:val="Normal"/>
    <w:qFormat/>
    <w:rsid w:val="001E5311"/>
    <w:pPr>
      <w:numPr>
        <w:numId w:val="1"/>
      </w:numPr>
    </w:pPr>
    <w:rPr>
      <w:szCs w:val="26"/>
    </w:rPr>
  </w:style>
  <w:style w:type="table" w:styleId="TableGrid">
    <w:name w:val="Table Grid"/>
    <w:basedOn w:val="TableNormal"/>
    <w:uiPriority w:val="59"/>
    <w:rsid w:val="009B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F6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F6F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65085B"/>
    <w:rPr>
      <w:rFonts w:ascii="Arial Bold" w:hAnsi="Arial Bold"/>
      <w:b/>
      <w:color w:val="0064A4"/>
      <w:sz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275D6"/>
    <w:rPr>
      <w:rFonts w:ascii="Arial" w:hAnsi="Arial" w:cs="Arial"/>
      <w:b/>
      <w:color w:val="0064A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5311"/>
    <w:rPr>
      <w:rFonts w:ascii="Arial" w:eastAsiaTheme="majorEastAsia" w:hAnsi="Arial" w:cstheme="majorBidi"/>
      <w:b/>
      <w:bCs/>
      <w:i/>
      <w:color w:val="0064A4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666D"/>
    <w:rPr>
      <w:color w:val="800080" w:themeColor="followedHyperlink"/>
      <w:u w:val="single"/>
    </w:rPr>
  </w:style>
  <w:style w:type="paragraph" w:styleId="ListParagraph">
    <w:name w:val="List Paragraph"/>
    <w:aliases w:val="Worksheet answer"/>
    <w:basedOn w:val="Normal"/>
    <w:uiPriority w:val="34"/>
    <w:qFormat/>
    <w:rsid w:val="009C6A05"/>
    <w:pPr>
      <w:numPr>
        <w:numId w:val="22"/>
      </w:numPr>
      <w:tabs>
        <w:tab w:val="right" w:leader="underscore" w:pos="10350"/>
      </w:tabs>
      <w:spacing w:line="480" w:lineRule="auto"/>
    </w:pPr>
    <w:rPr>
      <w:rFonts w:eastAsiaTheme="minorEastAsia" w:cs="Arial"/>
      <w:lang w:eastAsia="ja-JP"/>
    </w:rPr>
  </w:style>
  <w:style w:type="table" w:styleId="LightList-Accent1">
    <w:name w:val="Light List Accent 1"/>
    <w:basedOn w:val="TableNormal"/>
    <w:uiPriority w:val="61"/>
    <w:rsid w:val="002C44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64F8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F80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154CF6"/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4CF6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9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90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A7C1C"/>
    <w:rPr>
      <w:b/>
      <w:bCs/>
    </w:rPr>
  </w:style>
  <w:style w:type="paragraph" w:styleId="NormalWeb">
    <w:name w:val="Normal (Web)"/>
    <w:basedOn w:val="Normal"/>
    <w:uiPriority w:val="99"/>
    <w:unhideWhenUsed/>
    <w:rsid w:val="00327B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basedOn w:val="DefaultParagraphFont"/>
    <w:rsid w:val="00327BCF"/>
  </w:style>
  <w:style w:type="table" w:styleId="MediumShading2-Accent1">
    <w:name w:val="Medium Shading 2 Accent 1"/>
    <w:basedOn w:val="TableNormal"/>
    <w:uiPriority w:val="64"/>
    <w:rsid w:val="00FD48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A5D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D5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D52"/>
    <w:rPr>
      <w:vertAlign w:val="superscript"/>
    </w:rPr>
  </w:style>
  <w:style w:type="paragraph" w:customStyle="1" w:styleId="Worksheetanswernonbullet">
    <w:name w:val="Worksheet answer nonbullet"/>
    <w:basedOn w:val="Normal"/>
    <w:qFormat/>
    <w:rsid w:val="009C6A05"/>
    <w:pPr>
      <w:tabs>
        <w:tab w:val="right" w:leader="underscore" w:pos="10260"/>
      </w:tabs>
      <w:spacing w:line="600" w:lineRule="auto"/>
    </w:pPr>
    <w:rPr>
      <w:rFonts w:cs="Arial"/>
    </w:rPr>
  </w:style>
  <w:style w:type="paragraph" w:customStyle="1" w:styleId="basicheader">
    <w:name w:val="basic header"/>
    <w:basedOn w:val="Normal"/>
    <w:qFormat/>
    <w:rsid w:val="000D4D10"/>
    <w:pPr>
      <w:keepNext/>
      <w:spacing w:after="240" w:line="320" w:lineRule="exact"/>
    </w:pPr>
    <w:rPr>
      <w:b/>
      <w:cap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Body Text" w:semiHidden="0" w:unhideWhenUsed="0"/>
    <w:lsdException w:name="Subtitle" w:uiPriority="11" w:unhideWhenUsed="0" w:qFormat="1"/>
    <w:lsdException w:name="Block Tex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10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9A9"/>
    <w:pPr>
      <w:keepNext/>
      <w:keepLines/>
      <w:pBdr>
        <w:top w:val="single" w:sz="4" w:space="6" w:color="0064A4"/>
        <w:left w:val="single" w:sz="4" w:space="26" w:color="0064A4"/>
        <w:bottom w:val="single" w:sz="4" w:space="6" w:color="0064A4"/>
        <w:right w:val="single" w:sz="4" w:space="6" w:color="0064A4"/>
      </w:pBdr>
      <w:spacing w:before="240" w:after="240"/>
      <w:outlineLvl w:val="0"/>
    </w:pPr>
    <w:rPr>
      <w:rFonts w:eastAsiaTheme="majorEastAsia" w:cstheme="majorBidi"/>
      <w:b/>
      <w:bCs/>
      <w:color w:val="0064A4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75D6"/>
    <w:pPr>
      <w:keepNext/>
      <w:outlineLvl w:val="1"/>
    </w:pPr>
    <w:rPr>
      <w:rFonts w:cs="Arial"/>
      <w:b/>
      <w:color w:val="0064A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5311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0064A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9A9"/>
    <w:rPr>
      <w:rFonts w:ascii="Arial" w:eastAsiaTheme="majorEastAsia" w:hAnsi="Arial" w:cstheme="majorBidi"/>
      <w:b/>
      <w:bCs/>
      <w:color w:val="0064A4"/>
      <w:sz w:val="56"/>
      <w:szCs w:val="28"/>
    </w:rPr>
  </w:style>
  <w:style w:type="character" w:customStyle="1" w:styleId="Lead-In">
    <w:name w:val="Lead-In"/>
    <w:uiPriority w:val="99"/>
    <w:rsid w:val="001E5311"/>
    <w:rPr>
      <w:rFonts w:ascii="Arial" w:hAnsi="Arial" w:cs="GaramondPremrPro"/>
      <w:b/>
      <w:i w:val="0"/>
      <w:color w:val="DD5926"/>
      <w:spacing w:val="0"/>
      <w:sz w:val="40"/>
      <w:szCs w:val="46"/>
      <w:vertAlign w:val="baseline"/>
    </w:rPr>
  </w:style>
  <w:style w:type="paragraph" w:styleId="BodyText">
    <w:name w:val="Body Text"/>
    <w:basedOn w:val="Normal"/>
    <w:link w:val="BodyTextChar"/>
    <w:uiPriority w:val="99"/>
    <w:rsid w:val="00AA4E92"/>
    <w:pPr>
      <w:spacing w:after="200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AA4E92"/>
    <w:rPr>
      <w:rFonts w:ascii="Garamond" w:hAnsi="Garamond"/>
      <w:sz w:val="32"/>
    </w:rPr>
  </w:style>
  <w:style w:type="paragraph" w:customStyle="1" w:styleId="BodyText2">
    <w:name w:val="Body Text2"/>
    <w:basedOn w:val="BodyText"/>
    <w:qFormat/>
    <w:rsid w:val="003559A9"/>
    <w:rPr>
      <w:sz w:val="22"/>
      <w:szCs w:val="28"/>
    </w:rPr>
  </w:style>
  <w:style w:type="paragraph" w:customStyle="1" w:styleId="Bullet1">
    <w:name w:val="Bullet 1"/>
    <w:basedOn w:val="ListParagraph"/>
    <w:qFormat/>
    <w:rsid w:val="002F3ADD"/>
    <w:pPr>
      <w:spacing w:line="276" w:lineRule="auto"/>
    </w:pPr>
  </w:style>
  <w:style w:type="paragraph" w:customStyle="1" w:styleId="Numbers">
    <w:name w:val="Numbers"/>
    <w:basedOn w:val="Normal"/>
    <w:qFormat/>
    <w:rsid w:val="001E5311"/>
    <w:pPr>
      <w:numPr>
        <w:numId w:val="1"/>
      </w:numPr>
    </w:pPr>
    <w:rPr>
      <w:szCs w:val="26"/>
    </w:rPr>
  </w:style>
  <w:style w:type="table" w:styleId="TableGrid">
    <w:name w:val="Table Grid"/>
    <w:basedOn w:val="TableNormal"/>
    <w:uiPriority w:val="59"/>
    <w:rsid w:val="009B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F6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semiHidden/>
    <w:rsid w:val="00CE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F6F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65085B"/>
    <w:rPr>
      <w:rFonts w:ascii="Arial Bold" w:hAnsi="Arial Bold"/>
      <w:b/>
      <w:color w:val="0064A4"/>
      <w:sz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275D6"/>
    <w:rPr>
      <w:rFonts w:ascii="Arial" w:hAnsi="Arial" w:cs="Arial"/>
      <w:b/>
      <w:color w:val="0064A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5311"/>
    <w:rPr>
      <w:rFonts w:ascii="Arial" w:eastAsiaTheme="majorEastAsia" w:hAnsi="Arial" w:cstheme="majorBidi"/>
      <w:b/>
      <w:bCs/>
      <w:i/>
      <w:color w:val="0064A4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666D"/>
    <w:rPr>
      <w:color w:val="800080" w:themeColor="followedHyperlink"/>
      <w:u w:val="single"/>
    </w:rPr>
  </w:style>
  <w:style w:type="paragraph" w:styleId="ListParagraph">
    <w:name w:val="List Paragraph"/>
    <w:aliases w:val="Worksheet answer"/>
    <w:basedOn w:val="Normal"/>
    <w:uiPriority w:val="34"/>
    <w:qFormat/>
    <w:rsid w:val="009C6A05"/>
    <w:pPr>
      <w:numPr>
        <w:numId w:val="22"/>
      </w:numPr>
      <w:tabs>
        <w:tab w:val="right" w:leader="underscore" w:pos="10350"/>
      </w:tabs>
      <w:spacing w:line="480" w:lineRule="auto"/>
    </w:pPr>
    <w:rPr>
      <w:rFonts w:eastAsiaTheme="minorEastAsia" w:cs="Arial"/>
      <w:lang w:eastAsia="ja-JP"/>
    </w:rPr>
  </w:style>
  <w:style w:type="table" w:styleId="LightList-Accent1">
    <w:name w:val="Light List Accent 1"/>
    <w:basedOn w:val="TableNormal"/>
    <w:uiPriority w:val="61"/>
    <w:rsid w:val="002C44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64F8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F80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154CF6"/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4CF6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9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90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A7C1C"/>
    <w:rPr>
      <w:b/>
      <w:bCs/>
    </w:rPr>
  </w:style>
  <w:style w:type="paragraph" w:styleId="NormalWeb">
    <w:name w:val="Normal (Web)"/>
    <w:basedOn w:val="Normal"/>
    <w:uiPriority w:val="99"/>
    <w:unhideWhenUsed/>
    <w:rsid w:val="00327B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basedOn w:val="DefaultParagraphFont"/>
    <w:rsid w:val="00327BCF"/>
  </w:style>
  <w:style w:type="table" w:styleId="MediumShading2-Accent1">
    <w:name w:val="Medium Shading 2 Accent 1"/>
    <w:basedOn w:val="TableNormal"/>
    <w:uiPriority w:val="64"/>
    <w:rsid w:val="00FD48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A5D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D5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D52"/>
    <w:rPr>
      <w:vertAlign w:val="superscript"/>
    </w:rPr>
  </w:style>
  <w:style w:type="paragraph" w:customStyle="1" w:styleId="Worksheetanswernonbullet">
    <w:name w:val="Worksheet answer nonbullet"/>
    <w:basedOn w:val="Normal"/>
    <w:qFormat/>
    <w:rsid w:val="009C6A05"/>
    <w:pPr>
      <w:tabs>
        <w:tab w:val="right" w:leader="underscore" w:pos="10260"/>
      </w:tabs>
      <w:spacing w:line="600" w:lineRule="auto"/>
    </w:pPr>
    <w:rPr>
      <w:rFonts w:cs="Arial"/>
    </w:rPr>
  </w:style>
  <w:style w:type="paragraph" w:customStyle="1" w:styleId="basicheader">
    <w:name w:val="basic header"/>
    <w:basedOn w:val="Normal"/>
    <w:qFormat/>
    <w:rsid w:val="000D4D10"/>
    <w:pPr>
      <w:keepNext/>
      <w:spacing w:after="240" w:line="320" w:lineRule="exact"/>
    </w:pPr>
    <w:rPr>
      <w:b/>
      <w:cap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50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5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8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5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8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2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0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3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8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6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6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3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4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6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6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8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290">
          <w:marLeft w:val="10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5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3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8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campaignforac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mpbell\Ess$\Best%20Practice%20Directory\New%20Best%20Practices\ROI%20&amp;%20Cost%20Per%20Dollar%20Raised\New%20ROI%20Calculato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Helvetica 55 Roman"/>
                <a:ea typeface="Helvetica 55 Roman"/>
                <a:cs typeface="Helvetica 55 Roman"/>
              </a:defRPr>
            </a:pPr>
            <a:r>
              <a:rPr lang="en-US"/>
              <a:t>Fundraising Cost Per Dollar Raised</a:t>
            </a:r>
          </a:p>
        </c:rich>
      </c:tx>
      <c:layout>
        <c:manualLayout>
          <c:xMode val="edge"/>
          <c:yMode val="edge"/>
          <c:x val="0.24249449978179555"/>
          <c:y val="3.043481491467276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625881416310417"/>
          <c:y val="0.14565232852021964"/>
          <c:w val="0.83140971353758475"/>
          <c:h val="0.6956529123353774"/>
        </c:manualLayout>
      </c:layout>
      <c:barChart>
        <c:barDir val="col"/>
        <c:grouping val="stacked"/>
        <c:varyColors val="0"/>
        <c:ser>
          <c:idx val="1"/>
          <c:order val="0"/>
          <c:tx>
            <c:v> </c:v>
          </c:tx>
          <c:spPr>
            <a:noFill/>
            <a:ln w="25400">
              <a:noFill/>
            </a:ln>
          </c:spPr>
          <c:invertIfNegative val="0"/>
          <c:cat>
            <c:strRef>
              <c:f>Calculator!$D$48:$L$48</c:f>
              <c:strCache>
                <c:ptCount val="6"/>
                <c:pt idx="0">
                  <c:v>Annual</c:v>
                </c:pt>
                <c:pt idx="1">
                  <c:v>Major</c:v>
                </c:pt>
                <c:pt idx="2">
                  <c:v>Planned</c:v>
                </c:pt>
                <c:pt idx="3">
                  <c:v>Events</c:v>
                </c:pt>
                <c:pt idx="4">
                  <c:v>Corp/Fdn</c:v>
                </c:pt>
                <c:pt idx="5">
                  <c:v>Overall</c:v>
                </c:pt>
              </c:strCache>
            </c:strRef>
          </c:cat>
          <c:val>
            <c:numRef>
              <c:f>Calculator!$D$93:$I$93</c:f>
              <c:numCache>
                <c:formatCode>"$"#,##0.00</c:formatCode>
                <c:ptCount val="6"/>
                <c:pt idx="0">
                  <c:v>0.2</c:v>
                </c:pt>
                <c:pt idx="1">
                  <c:v>0.05</c:v>
                </c:pt>
                <c:pt idx="2">
                  <c:v>0.08</c:v>
                </c:pt>
                <c:pt idx="3">
                  <c:v>0.4</c:v>
                </c:pt>
                <c:pt idx="4">
                  <c:v>0.16</c:v>
                </c:pt>
                <c:pt idx="5">
                  <c:v>0.16</c:v>
                </c:pt>
              </c:numCache>
            </c:numRef>
          </c:val>
        </c:ser>
        <c:ser>
          <c:idx val="0"/>
          <c:order val="1"/>
          <c:tx>
            <c:v>Benchmark Range</c:v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A3222" mc:Ignorable="a14" a14:legacySpreadsheetColorIndex="24"/>
                </a:gs>
                <a:gs pos="100000">
                  <a:srgbClr xmlns:mc="http://schemas.openxmlformats.org/markup-compatibility/2006" xmlns:a14="http://schemas.microsoft.com/office/drawing/2010/main" val="848205" mc:Ignorable="a14" a14:legacySpreadsheetColorIndex="27"/>
                </a:gs>
              </a:gsLst>
              <a:lin ang="5400000" scaled="1"/>
            </a:gradFill>
            <a:ln w="25400">
              <a:noFill/>
            </a:ln>
          </c:spPr>
          <c:invertIfNegative val="0"/>
          <c:cat>
            <c:strRef>
              <c:f>Calculator!$D$48:$L$48</c:f>
              <c:strCache>
                <c:ptCount val="6"/>
                <c:pt idx="0">
                  <c:v>Annual</c:v>
                </c:pt>
                <c:pt idx="1">
                  <c:v>Major</c:v>
                </c:pt>
                <c:pt idx="2">
                  <c:v>Planned</c:v>
                </c:pt>
                <c:pt idx="3">
                  <c:v>Events</c:v>
                </c:pt>
                <c:pt idx="4">
                  <c:v>Corp/Fdn</c:v>
                </c:pt>
                <c:pt idx="5">
                  <c:v>Overall</c:v>
                </c:pt>
              </c:strCache>
            </c:strRef>
          </c:cat>
          <c:val>
            <c:numRef>
              <c:f>Calculator!$D$95:$I$95</c:f>
              <c:numCache>
                <c:formatCode>"$"#,##0.00</c:formatCode>
                <c:ptCount val="6"/>
                <c:pt idx="0">
                  <c:v>0.14999999999999997</c:v>
                </c:pt>
                <c:pt idx="1">
                  <c:v>6.9999999999999993E-2</c:v>
                </c:pt>
                <c:pt idx="2">
                  <c:v>0.12000000000000001</c:v>
                </c:pt>
                <c:pt idx="3">
                  <c:v>0.27</c:v>
                </c:pt>
                <c:pt idx="4">
                  <c:v>0.09</c:v>
                </c:pt>
                <c:pt idx="5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0261632"/>
        <c:axId val="120275712"/>
      </c:barChart>
      <c:catAx>
        <c:axId val="12026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Helvetica 55 Roman"/>
                <a:ea typeface="Helvetica 55 Roman"/>
                <a:cs typeface="Helvetica 55 Roman"/>
              </a:defRPr>
            </a:pPr>
            <a:endParaRPr lang="en-US"/>
          </a:p>
        </c:txPr>
        <c:crossAx val="120275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275712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solid"/>
            </a:ln>
          </c:spPr>
        </c:majorGridlines>
        <c:numFmt formatCode="&quot;$&quot;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Helvetica 55 Roman"/>
                <a:ea typeface="Helvetica 55 Roman"/>
                <a:cs typeface="Helvetica 55 Roman"/>
              </a:defRPr>
            </a:pPr>
            <a:endParaRPr lang="en-US"/>
          </a:p>
        </c:txPr>
        <c:crossAx val="12026163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Helvetica 55 Roman"/>
          <a:ea typeface="Helvetica 55 Roman"/>
          <a:cs typeface="Helvetica 55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84FE-4AE3-47DC-8465-F21B532B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MPheulpin</dc:creator>
  <cp:lastModifiedBy>MPheulpin</cp:lastModifiedBy>
  <cp:revision>4</cp:revision>
  <cp:lastPrinted>2014-09-18T15:08:00Z</cp:lastPrinted>
  <dcterms:created xsi:type="dcterms:W3CDTF">2014-09-19T20:17:00Z</dcterms:created>
  <dcterms:modified xsi:type="dcterms:W3CDTF">2015-02-06T15:40:00Z</dcterms:modified>
</cp:coreProperties>
</file>